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E6" w:rsidRDefault="00F41DE6" w:rsidP="003D55B0">
      <w:pPr>
        <w:pStyle w:val="a7"/>
        <w:ind w:right="-6" w:firstLine="0"/>
        <w:jc w:val="center"/>
        <w:rPr>
          <w:b/>
          <w:bCs/>
          <w:sz w:val="26"/>
          <w:szCs w:val="26"/>
        </w:rPr>
      </w:pPr>
    </w:p>
    <w:p w:rsidR="007C0BE5" w:rsidRPr="003D55B0" w:rsidRDefault="007C0BE5" w:rsidP="0098019A">
      <w:pPr>
        <w:pStyle w:val="a7"/>
        <w:ind w:right="-6" w:firstLine="0"/>
        <w:jc w:val="center"/>
        <w:rPr>
          <w:bCs/>
          <w:szCs w:val="28"/>
        </w:rPr>
      </w:pPr>
      <w:r w:rsidRPr="003D55B0">
        <w:rPr>
          <w:bCs/>
          <w:szCs w:val="28"/>
        </w:rPr>
        <w:t>АДМИНИСТР</w:t>
      </w:r>
      <w:r w:rsidR="0098019A" w:rsidRPr="003D55B0">
        <w:rPr>
          <w:bCs/>
          <w:szCs w:val="28"/>
        </w:rPr>
        <w:t xml:space="preserve">АЦИЯ </w:t>
      </w:r>
      <w:r w:rsidR="00991404" w:rsidRPr="003D55B0">
        <w:rPr>
          <w:bCs/>
          <w:szCs w:val="28"/>
        </w:rPr>
        <w:t>ЛОСЕВСКОГО</w:t>
      </w:r>
      <w:r w:rsidR="0098019A" w:rsidRPr="003D55B0">
        <w:rPr>
          <w:bCs/>
          <w:szCs w:val="28"/>
        </w:rPr>
        <w:t xml:space="preserve"> СЕЛЬСКОГО </w:t>
      </w:r>
      <w:r w:rsidRPr="003D55B0">
        <w:rPr>
          <w:bCs/>
          <w:szCs w:val="28"/>
        </w:rPr>
        <w:t>ПОСЕЛЕНИЯ ПАВЛОВСКОГО МУНИЦИПАЛЬНОГО РАЙОНА</w:t>
      </w:r>
    </w:p>
    <w:p w:rsidR="007C0BE5" w:rsidRPr="003D55B0" w:rsidRDefault="007C0BE5" w:rsidP="007C0BE5">
      <w:pPr>
        <w:pStyle w:val="a7"/>
        <w:ind w:right="-6"/>
        <w:jc w:val="center"/>
        <w:rPr>
          <w:bCs/>
          <w:szCs w:val="28"/>
        </w:rPr>
      </w:pPr>
      <w:r w:rsidRPr="003D55B0">
        <w:rPr>
          <w:bCs/>
          <w:szCs w:val="28"/>
        </w:rPr>
        <w:t>ВОРОНЕЖСКОЙ ОБЛАСТИ</w:t>
      </w:r>
    </w:p>
    <w:p w:rsidR="007C0BE5" w:rsidRPr="007C0BE5" w:rsidRDefault="007C0BE5" w:rsidP="00173558">
      <w:pPr>
        <w:pStyle w:val="a7"/>
        <w:ind w:right="-6" w:firstLine="0"/>
        <w:jc w:val="center"/>
        <w:rPr>
          <w:b/>
          <w:bCs/>
          <w:sz w:val="26"/>
          <w:szCs w:val="26"/>
        </w:rPr>
      </w:pP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32"/>
          <w:szCs w:val="32"/>
        </w:rPr>
      </w:pPr>
      <w:r w:rsidRPr="007C0BE5">
        <w:rPr>
          <w:b/>
          <w:bCs/>
          <w:sz w:val="32"/>
          <w:szCs w:val="32"/>
        </w:rPr>
        <w:t>П О С Т А Н О В Л Е Н И Е</w:t>
      </w:r>
    </w:p>
    <w:p w:rsidR="007C0BE5" w:rsidRPr="007C0BE5" w:rsidRDefault="007C0BE5" w:rsidP="007C0BE5">
      <w:pPr>
        <w:pStyle w:val="a7"/>
        <w:ind w:right="-6"/>
        <w:jc w:val="center"/>
        <w:rPr>
          <w:b/>
          <w:bCs/>
          <w:sz w:val="32"/>
          <w:szCs w:val="32"/>
        </w:rPr>
      </w:pPr>
    </w:p>
    <w:p w:rsidR="007C0BE5" w:rsidRPr="0098019A" w:rsidRDefault="00991404" w:rsidP="007C0BE5">
      <w:pPr>
        <w:pStyle w:val="a7"/>
        <w:ind w:firstLine="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98019A">
        <w:rPr>
          <w:sz w:val="26"/>
          <w:szCs w:val="26"/>
          <w:u w:val="single"/>
        </w:rPr>
        <w:t xml:space="preserve">т  </w:t>
      </w:r>
      <w:r w:rsidR="00DA7915">
        <w:rPr>
          <w:sz w:val="26"/>
          <w:szCs w:val="26"/>
          <w:u w:val="single"/>
        </w:rPr>
        <w:t xml:space="preserve"> </w:t>
      </w:r>
      <w:r w:rsidR="003D55B0">
        <w:rPr>
          <w:sz w:val="26"/>
          <w:szCs w:val="26"/>
          <w:u w:val="single"/>
        </w:rPr>
        <w:t xml:space="preserve">18.07.2017 г.  </w:t>
      </w:r>
      <w:r w:rsidR="0098019A">
        <w:rPr>
          <w:sz w:val="26"/>
          <w:szCs w:val="26"/>
          <w:u w:val="single"/>
        </w:rPr>
        <w:t>№</w:t>
      </w:r>
      <w:r w:rsidR="003D55B0">
        <w:rPr>
          <w:sz w:val="26"/>
          <w:szCs w:val="26"/>
          <w:u w:val="single"/>
        </w:rPr>
        <w:t>44</w:t>
      </w:r>
    </w:p>
    <w:p w:rsidR="007C0BE5" w:rsidRPr="007C0BE5" w:rsidRDefault="00991404" w:rsidP="007C0BE5">
      <w:pPr>
        <w:pStyle w:val="a7"/>
        <w:ind w:firstLine="0"/>
        <w:rPr>
          <w:sz w:val="26"/>
          <w:szCs w:val="26"/>
        </w:rPr>
      </w:pPr>
      <w:r>
        <w:rPr>
          <w:sz w:val="26"/>
          <w:szCs w:val="26"/>
        </w:rPr>
        <w:t>с. Лосево</w:t>
      </w:r>
    </w:p>
    <w:p w:rsidR="003A381F" w:rsidRDefault="003A381F" w:rsidP="007C0BE5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DE69EA" w:rsidTr="000A150D">
        <w:tc>
          <w:tcPr>
            <w:tcW w:w="5495" w:type="dxa"/>
          </w:tcPr>
          <w:p w:rsidR="000A150D" w:rsidRDefault="00DE69EA" w:rsidP="00DE69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BE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 </w:t>
            </w:r>
            <w:r w:rsidR="000C6C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орядка оценки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r w:rsidR="000A150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эффективности предоставляемых и планируемых к предоставлению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налоговых </w:t>
            </w:r>
          </w:p>
          <w:p w:rsidR="00DE69EA" w:rsidRDefault="000A150D" w:rsidP="005468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 по </w:t>
            </w:r>
            <w:r w:rsidR="00DE69EA">
              <w:rPr>
                <w:rFonts w:ascii="Times New Roman" w:hAnsi="Times New Roman" w:cs="Times New Roman"/>
                <w:sz w:val="28"/>
                <w:szCs w:val="28"/>
              </w:rPr>
              <w:t xml:space="preserve">местным налогам </w:t>
            </w:r>
          </w:p>
        </w:tc>
        <w:tc>
          <w:tcPr>
            <w:tcW w:w="4076" w:type="dxa"/>
          </w:tcPr>
          <w:p w:rsidR="00DE69EA" w:rsidRDefault="00DE69EA" w:rsidP="007C0BE5">
            <w:pPr>
              <w:rPr>
                <w:rFonts w:ascii="Times New Roman" w:hAnsi="Times New Roman" w:cs="Times New Roman"/>
              </w:rPr>
            </w:pPr>
          </w:p>
        </w:tc>
      </w:tr>
    </w:tbl>
    <w:p w:rsidR="00DE69EA" w:rsidRDefault="00DE69EA" w:rsidP="007C0BE5">
      <w:pPr>
        <w:spacing w:line="240" w:lineRule="auto"/>
        <w:rPr>
          <w:rFonts w:ascii="Times New Roman" w:hAnsi="Times New Roman" w:cs="Times New Roman"/>
        </w:rPr>
      </w:pPr>
    </w:p>
    <w:p w:rsidR="000A150D" w:rsidRPr="000A150D" w:rsidRDefault="002855A6" w:rsidP="00EB00EB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0A150D">
        <w:rPr>
          <w:rFonts w:ascii="Times New Roman" w:hAnsi="Times New Roman" w:cs="Times New Roman"/>
          <w:sz w:val="26"/>
          <w:szCs w:val="26"/>
        </w:rPr>
        <w:t xml:space="preserve">В соответствии с Налоговым кодексом Российской Федерации, </w:t>
      </w:r>
      <w:r w:rsidR="000A150D" w:rsidRPr="000A150D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с Бюджетным кодексом Российской Федерации, </w:t>
      </w:r>
      <w:r w:rsidRPr="000A150D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0A150D" w:rsidRPr="000A150D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и в целях сокращения потерь бюджета </w:t>
      </w:r>
      <w:r w:rsidR="00991404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>Лосевского</w:t>
      </w:r>
      <w:r w:rsidR="000A150D" w:rsidRPr="000A150D">
        <w:rPr>
          <w:rStyle w:val="consnormal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связанных с предоставлением льгот по местным налогам и сборам</w:t>
      </w:r>
      <w:r w:rsidR="000A150D" w:rsidRPr="000A150D">
        <w:rPr>
          <w:rFonts w:ascii="Times New Roman" w:hAnsi="Times New Roman" w:cs="Times New Roman"/>
          <w:sz w:val="26"/>
          <w:szCs w:val="26"/>
        </w:rPr>
        <w:t xml:space="preserve">, </w:t>
      </w:r>
      <w:r w:rsidR="007C0BE5" w:rsidRPr="000A150D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991404">
        <w:rPr>
          <w:rFonts w:ascii="Times New Roman" w:hAnsi="Times New Roman" w:cs="Times New Roman"/>
          <w:sz w:val="26"/>
          <w:szCs w:val="26"/>
        </w:rPr>
        <w:t>Лосевского</w:t>
      </w:r>
      <w:r w:rsidR="007C0BE5" w:rsidRPr="000A150D">
        <w:rPr>
          <w:rFonts w:ascii="Times New Roman" w:hAnsi="Times New Roman" w:cs="Times New Roman"/>
          <w:sz w:val="26"/>
          <w:szCs w:val="26"/>
        </w:rPr>
        <w:t xml:space="preserve"> сельского поселения,  администрация </w:t>
      </w:r>
      <w:r w:rsidR="00991404">
        <w:rPr>
          <w:rFonts w:ascii="Times New Roman" w:hAnsi="Times New Roman" w:cs="Times New Roman"/>
          <w:sz w:val="26"/>
          <w:szCs w:val="26"/>
        </w:rPr>
        <w:t>Лосевского</w:t>
      </w:r>
      <w:r w:rsidR="007C0BE5" w:rsidRPr="000A150D">
        <w:rPr>
          <w:rFonts w:ascii="Times New Roman" w:hAnsi="Times New Roman" w:cs="Times New Roman"/>
          <w:sz w:val="26"/>
          <w:szCs w:val="26"/>
        </w:rPr>
        <w:t xml:space="preserve">  сельского поселения</w:t>
      </w:r>
    </w:p>
    <w:p w:rsidR="007C0BE5" w:rsidRPr="007C0BE5" w:rsidRDefault="007C0BE5" w:rsidP="00EB00EB">
      <w:pPr>
        <w:pStyle w:val="a5"/>
        <w:rPr>
          <w:sz w:val="26"/>
          <w:szCs w:val="26"/>
        </w:rPr>
      </w:pPr>
      <w:r w:rsidRPr="007C0BE5">
        <w:rPr>
          <w:sz w:val="26"/>
          <w:szCs w:val="26"/>
        </w:rPr>
        <w:t>ПОСТАНОВЛЯЕТ:</w:t>
      </w:r>
    </w:p>
    <w:p w:rsidR="0054687D" w:rsidRDefault="00EB00EB" w:rsidP="00EB00EB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br/>
      </w:r>
      <w:r w:rsidR="0054687D" w:rsidRPr="0054687D">
        <w:rPr>
          <w:sz w:val="26"/>
          <w:szCs w:val="26"/>
        </w:rPr>
        <w:t>1. Установить обязательность проведения оценки предоставляемых и планируемых к предоставлению налоговых льгот по местным налогам на предмет их бюджетной и социальной эффективности.</w:t>
      </w:r>
    </w:p>
    <w:p w:rsidR="0054687D" w:rsidRPr="0054687D" w:rsidRDefault="00A4501E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Утвердить </w:t>
      </w:r>
      <w:r w:rsidR="0054687D" w:rsidRPr="0054687D">
        <w:rPr>
          <w:rFonts w:ascii="Times New Roman" w:hAnsi="Times New Roman" w:cs="Times New Roman"/>
          <w:color w:val="000000"/>
          <w:sz w:val="26"/>
          <w:szCs w:val="26"/>
        </w:rPr>
        <w:t xml:space="preserve"> Порядок проведения оценки эффективности предоставленных и планируемых к предоставлению налоговых льгот по местным налогам по </w:t>
      </w:r>
      <w:proofErr w:type="spellStart"/>
      <w:r w:rsidR="00991404">
        <w:rPr>
          <w:rFonts w:ascii="Times New Roman" w:hAnsi="Times New Roman" w:cs="Times New Roman"/>
          <w:color w:val="000000"/>
          <w:sz w:val="26"/>
          <w:szCs w:val="26"/>
        </w:rPr>
        <w:t>Лосевскому</w:t>
      </w:r>
      <w:proofErr w:type="spellEnd"/>
      <w:r w:rsidR="00DA79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сельскому поселению согласно приложению к настоящему постановлению.</w:t>
      </w:r>
    </w:p>
    <w:p w:rsidR="0054687D" w:rsidRPr="0054687D" w:rsidRDefault="0054687D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4687D">
        <w:rPr>
          <w:rFonts w:ascii="Times New Roman" w:hAnsi="Times New Roman" w:cs="Times New Roman"/>
          <w:color w:val="000000"/>
          <w:sz w:val="26"/>
          <w:szCs w:val="26"/>
        </w:rPr>
        <w:t xml:space="preserve">3. Установить, что органом, уполномоченным проводить оценку эффективности предоставленных и планируемых к предоставлению налоговых льгот по местным налогам, является администрация </w:t>
      </w:r>
      <w:r w:rsidR="00991404">
        <w:rPr>
          <w:rFonts w:ascii="Times New Roman" w:hAnsi="Times New Roman" w:cs="Times New Roman"/>
          <w:color w:val="000000"/>
          <w:sz w:val="26"/>
          <w:szCs w:val="26"/>
        </w:rPr>
        <w:t>Лосевского</w:t>
      </w:r>
      <w:r w:rsidRPr="0054687D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поселения</w:t>
      </w:r>
      <w:r w:rsidR="009914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C0BE5" w:rsidRPr="0054687D" w:rsidRDefault="0054687D" w:rsidP="00EB0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687D">
        <w:rPr>
          <w:rFonts w:ascii="Times New Roman" w:hAnsi="Times New Roman" w:cs="Times New Roman"/>
          <w:sz w:val="26"/>
          <w:szCs w:val="26"/>
        </w:rPr>
        <w:t>4</w:t>
      </w:r>
      <w:r w:rsidR="007C0BE5" w:rsidRPr="0054687D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в  муниципальной газете «Павловский муниципальный вестник» и разместить  его  на официальном сайте  </w:t>
      </w:r>
      <w:r w:rsidR="00991404">
        <w:rPr>
          <w:rFonts w:ascii="Times New Roman" w:hAnsi="Times New Roman" w:cs="Times New Roman"/>
          <w:sz w:val="26"/>
          <w:szCs w:val="26"/>
        </w:rPr>
        <w:t>Лосевского</w:t>
      </w:r>
      <w:r w:rsidR="007C0BE5" w:rsidRPr="0054687D">
        <w:rPr>
          <w:rFonts w:ascii="Times New Roman" w:hAnsi="Times New Roman" w:cs="Times New Roman"/>
          <w:sz w:val="26"/>
          <w:szCs w:val="26"/>
        </w:rPr>
        <w:t xml:space="preserve"> сельского поселения в сети" Интернет".</w:t>
      </w:r>
    </w:p>
    <w:p w:rsidR="008D6407" w:rsidRDefault="008D6407" w:rsidP="008D6407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54687D" w:rsidRPr="0054687D">
        <w:rPr>
          <w:rFonts w:ascii="Times New Roman" w:hAnsi="Times New Roman" w:cs="Times New Roman"/>
          <w:sz w:val="26"/>
          <w:szCs w:val="26"/>
        </w:rPr>
        <w:t>5</w:t>
      </w:r>
      <w:r w:rsidR="007C0BE5" w:rsidRPr="0054687D">
        <w:rPr>
          <w:rFonts w:ascii="Times New Roman" w:hAnsi="Times New Roman" w:cs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D45EE2" w:rsidRDefault="007C0BE5" w:rsidP="00D45EE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C0BE5">
        <w:rPr>
          <w:rFonts w:ascii="Times New Roman" w:hAnsi="Times New Roman" w:cs="Times New Roman"/>
          <w:sz w:val="26"/>
          <w:szCs w:val="26"/>
        </w:rPr>
        <w:t xml:space="preserve">Глава    </w:t>
      </w:r>
      <w:r w:rsidR="00991404">
        <w:rPr>
          <w:rFonts w:ascii="Times New Roman" w:hAnsi="Times New Roman" w:cs="Times New Roman"/>
        </w:rPr>
        <w:t>Лосевского</w:t>
      </w:r>
      <w:r w:rsidRPr="007C0BE5">
        <w:rPr>
          <w:rFonts w:ascii="Times New Roman" w:hAnsi="Times New Roman" w:cs="Times New Roman"/>
          <w:sz w:val="26"/>
          <w:szCs w:val="26"/>
        </w:rPr>
        <w:t xml:space="preserve">      сельског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br/>
      </w:r>
      <w:r w:rsidRPr="007C0BE5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</w:t>
      </w:r>
      <w:r>
        <w:rPr>
          <w:rFonts w:ascii="Times New Roman" w:hAnsi="Times New Roman" w:cs="Times New Roman"/>
          <w:sz w:val="18"/>
          <w:szCs w:val="18"/>
        </w:rPr>
        <w:br/>
      </w:r>
      <w:r w:rsidRPr="007C0BE5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</w:t>
      </w:r>
      <w:r w:rsidR="00991404">
        <w:rPr>
          <w:rFonts w:ascii="Times New Roman" w:hAnsi="Times New Roman" w:cs="Times New Roman"/>
          <w:sz w:val="26"/>
          <w:szCs w:val="26"/>
        </w:rPr>
        <w:t>А.Р. Бугаев</w:t>
      </w:r>
    </w:p>
    <w:p w:rsidR="0070090F" w:rsidRPr="00D45EE2" w:rsidRDefault="00E372C6" w:rsidP="00D45EE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019A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  <w:r w:rsidR="009060EB" w:rsidRPr="0098019A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r w:rsidR="00991404">
        <w:rPr>
          <w:rFonts w:ascii="Times New Roman" w:hAnsi="Times New Roman" w:cs="Times New Roman"/>
          <w:sz w:val="24"/>
          <w:szCs w:val="24"/>
        </w:rPr>
        <w:t>Лосевского</w:t>
      </w:r>
      <w:r w:rsidR="009060EB" w:rsidRPr="0098019A">
        <w:rPr>
          <w:rFonts w:ascii="Times New Roman" w:hAnsi="Times New Roman" w:cs="Times New Roman"/>
          <w:sz w:val="24"/>
          <w:szCs w:val="24"/>
        </w:rPr>
        <w:br/>
      </w:r>
      <w:r w:rsidRPr="0098019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8019A">
        <w:rPr>
          <w:rFonts w:ascii="Times New Roman" w:hAnsi="Times New Roman" w:cs="Times New Roman"/>
          <w:sz w:val="24"/>
          <w:szCs w:val="24"/>
        </w:rPr>
        <w:br/>
      </w:r>
      <w:r w:rsidR="003D55B0">
        <w:rPr>
          <w:rFonts w:ascii="Times New Roman" w:hAnsi="Times New Roman" w:cs="Times New Roman"/>
          <w:sz w:val="24"/>
          <w:szCs w:val="24"/>
          <w:u w:val="single"/>
        </w:rPr>
        <w:t xml:space="preserve">от 18.07.2017 г. </w:t>
      </w:r>
      <w:r w:rsidR="0098019A" w:rsidRPr="0098019A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3D55B0">
        <w:rPr>
          <w:rFonts w:ascii="Times New Roman" w:hAnsi="Times New Roman" w:cs="Times New Roman"/>
          <w:sz w:val="24"/>
          <w:szCs w:val="24"/>
          <w:u w:val="single"/>
        </w:rPr>
        <w:t>44</w:t>
      </w:r>
    </w:p>
    <w:p w:rsidR="00740F4C" w:rsidRPr="00740F4C" w:rsidRDefault="00F23042" w:rsidP="00EB00EB">
      <w:pPr>
        <w:spacing w:line="240" w:lineRule="auto"/>
        <w:jc w:val="center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ПОРЯДОК</w:t>
      </w:r>
      <w:r w:rsidR="00DA7915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ПРОВЕДЕНИЯ ОЦЕНКИ ЭФФЕКТИВНОСТИ ПРЕДОСТАВЛЕННЫХИ ПЛАНИРУЕМЫХ К ПРЕДОСТАВЛЕНИЮ НАЛОГОВЫХ ЛЬГОТИ СТАВОК НАЛОГОВ  ПО МЕСТНЫМ  НАЛОГАМ </w:t>
      </w:r>
      <w:r w:rsidR="00991404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ЛОСЕВСКОГО</w:t>
      </w: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740F4C" w:rsidRDefault="00F23042" w:rsidP="00EB00EB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 об оценке эффективности предоставленных и планируемых к предоставлению налоговых льгот и ставок по налогам по местным налогам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Настоящий Порядок проведения оценки эффективности предоставленных и планируемых к предоставлению налоговых льгот и ставок налогов по местным налогам по </w:t>
      </w:r>
      <w:proofErr w:type="spellStart"/>
      <w:r w:rsidR="00991404">
        <w:rPr>
          <w:rFonts w:ascii="Times New Roman" w:hAnsi="Times New Roman" w:cs="Times New Roman"/>
          <w:color w:val="000000"/>
          <w:sz w:val="26"/>
          <w:szCs w:val="26"/>
        </w:rPr>
        <w:t>Лосевскому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сельскому поселению </w:t>
      </w:r>
      <w:r w:rsidR="00892CB8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(далее – Порядок) определяет объекты оценки эффективности налоговых льгот по местным налогам (далее - налоговые льготы), принципиальные подходы к оценке, перечень и последовательность действий при проведении оценки, состав исполнителей и их взаимоотношения, а также требования к реализации результатов оценки.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1.2. Оценка эффективности предоставленных и планируемых к предоставлению налоговых льгот и ставок налогов производится в целях сокращения потерь бюджета</w:t>
      </w:r>
      <w:r w:rsidR="00DA79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1404">
        <w:rPr>
          <w:rFonts w:ascii="Times New Roman" w:hAnsi="Times New Roman" w:cs="Times New Roman"/>
          <w:color w:val="000000"/>
          <w:sz w:val="26"/>
          <w:szCs w:val="26"/>
        </w:rPr>
        <w:t>Лосевского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5D5285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(далее – бюджет поселения), связанных с предоставлением налоговых льгот. Проведение оценки должно способствовать оптимизации перечня действующих налоговых льгот и ставок налогов и обеспечению оптимального выбора объектов для предоставления муниципальной поддержки в форме налоговых льгот.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1.3. Объектом оценки эффективности предоставленных и планируемых к предоставлению налоговых льгот - ставок налогов является финансовый эффект от предоставления налоговых льгот как действующих, так и планируемых к введению на территории сельского поселения (в том числе льгот в виде применения пониженной ставки налога). Оценка производится в разрезе отдельно взятых видов местных налогов и в отношении каждой категории их получателей.</w:t>
      </w:r>
    </w:p>
    <w:p w:rsidR="00360FD5" w:rsidRDefault="00F23042" w:rsidP="00EB00EB">
      <w:pPr>
        <w:spacing w:line="240" w:lineRule="auto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В качестве эффекта от предоставления налоговых льгот рассматриваются:</w:t>
      </w:r>
      <w:r w:rsidR="00360FD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40C19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>- экономия средств бюджета сельского поселения.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полученные, планируемые к получению налоговые поступления в бюджет поселения, которые связаны с использованием льгот по местным налогам.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В случае если сумма эффекта от предоставления льгот по местным налогам превышает сумму или равна сумме предоставленных или планируемых к предоставлению льгот по местным налогам, это означает достаточную финансовую эффективность оцениваемых льгот.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lastRenderedPageBreak/>
        <w:t>Если сумма эффекта от предоставления льгот по местным налогам меньше суммы предоставленных или планируемых к предоставлению льгот, то налоговая льгота имеет низкую эффективность.</w:t>
      </w:r>
    </w:p>
    <w:p w:rsidR="00F23042" w:rsidRPr="00740F4C" w:rsidRDefault="00F23042" w:rsidP="00EB00E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1.4. Критерии оценки эффективности налоговых льгот.</w:t>
      </w:r>
    </w:p>
    <w:p w:rsidR="00F23042" w:rsidRPr="00740F4C" w:rsidRDefault="00F23042" w:rsidP="00EB00EB">
      <w:pPr>
        <w:shd w:val="clear" w:color="auto" w:fill="FFFFFF"/>
        <w:spacing w:line="240" w:lineRule="auto"/>
        <w:ind w:right="4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pacing w:val="-1"/>
          <w:sz w:val="26"/>
          <w:szCs w:val="26"/>
        </w:rPr>
        <w:t>Оценка эффективности налоговых льгот производится по следующим кри</w:t>
      </w:r>
      <w:r w:rsidRPr="00740F4C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740F4C">
        <w:rPr>
          <w:rFonts w:ascii="Times New Roman" w:hAnsi="Times New Roman" w:cs="Times New Roman"/>
          <w:color w:val="000000"/>
          <w:spacing w:val="-3"/>
          <w:sz w:val="26"/>
          <w:szCs w:val="26"/>
        </w:rPr>
        <w:t>териям:</w:t>
      </w:r>
    </w:p>
    <w:p w:rsidR="00F23042" w:rsidRPr="00740F4C" w:rsidRDefault="00F23042" w:rsidP="00EB00E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Бюджетная эффективность - влияние налоговых льгот на доходы бюд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softHyphen/>
        <w:t>жета поселения (расширение налогооблагаемой базы и прирост налоговых платежей в бюджет поселения по сравнению с величиной предостав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740F4C">
        <w:rPr>
          <w:rFonts w:ascii="Times New Roman" w:hAnsi="Times New Roman" w:cs="Times New Roman"/>
          <w:color w:val="000000"/>
          <w:spacing w:val="1"/>
          <w:sz w:val="26"/>
          <w:szCs w:val="26"/>
        </w:rPr>
        <w:t>ленных или планируемых к предоставлению налоговых льгот);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Социальная эффективность (социальная значимость) – создание новых рабочих мест, улучшение условий труда, формирование льготных условий для оплаты услуг незащищенных слоев населения.</w:t>
      </w:r>
    </w:p>
    <w:p w:rsidR="00F23042" w:rsidRPr="00740F4C" w:rsidRDefault="00F23042" w:rsidP="00EB00EB">
      <w:pPr>
        <w:spacing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2. Методологические подходы к проведению оценки</w:t>
      </w:r>
      <w:r w:rsidR="00BD7263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э</w:t>
      </w:r>
      <w:r w:rsidRPr="00740F4C">
        <w:rPr>
          <w:rStyle w:val="msonormal0"/>
          <w:rFonts w:ascii="Times New Roman" w:hAnsi="Times New Roman" w:cs="Times New Roman"/>
          <w:b/>
          <w:bCs/>
          <w:color w:val="000000"/>
          <w:sz w:val="26"/>
          <w:szCs w:val="26"/>
        </w:rPr>
        <w:t>ффективности льгот по местным налогам</w:t>
      </w:r>
    </w:p>
    <w:p w:rsidR="00F23042" w:rsidRPr="00BD7263" w:rsidRDefault="00F23042" w:rsidP="00EB00EB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D726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D7263">
        <w:rPr>
          <w:rFonts w:ascii="Times New Roman" w:hAnsi="Times New Roman" w:cs="Times New Roman"/>
          <w:bCs/>
          <w:color w:val="000000"/>
          <w:sz w:val="26"/>
          <w:szCs w:val="26"/>
        </w:rPr>
        <w:t>2.1. Источники информации для оценки эффективности предоставленных и планируемых к предоставлению налоговых льгот по местным налогам.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Осуществляемые при проведении оценки расчеты эффективности должны базироваться на данных налоговой,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используется статистическая отчетность и иные виды информации, включая оценки экспертов.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Источниками информации являются сведения, предоставленные: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-межрайонной инспекцией ФНС России № </w:t>
      </w:r>
      <w:r w:rsidR="00BD7263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по Воронежской области;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D7263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Павловским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отделом статистики </w:t>
      </w: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Воронежстата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получателями льгот или претендующими на их получение юридическими и физическими лицами (по форме согласно приложениям 1 и 2);</w:t>
      </w:r>
    </w:p>
    <w:p w:rsidR="00F23042" w:rsidRPr="00BD7263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7263">
        <w:rPr>
          <w:rFonts w:ascii="Times New Roman" w:hAnsi="Times New Roman" w:cs="Times New Roman"/>
          <w:bCs/>
          <w:color w:val="000000"/>
          <w:sz w:val="26"/>
          <w:szCs w:val="26"/>
        </w:rPr>
        <w:t>2.2. Методы проведения оценки эффективности предоставленных и планируемых к предоставлению налоговых льгот по отдельным категориям налогоплательщиков.</w:t>
      </w:r>
    </w:p>
    <w:p w:rsidR="00F23042" w:rsidRPr="00BD7263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7263">
        <w:rPr>
          <w:rFonts w:ascii="Times New Roman" w:hAnsi="Times New Roman" w:cs="Times New Roman"/>
          <w:bCs/>
          <w:color w:val="000000"/>
          <w:sz w:val="26"/>
          <w:szCs w:val="26"/>
        </w:rPr>
        <w:t>2.2.1. Категории налогоплательщиков, в отношении которых проводится оценка эффективности налоговых льгот: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муниципальные учреждения и организации (казенные, бюджетные, автономные), в том числе органы местного самоуправления (далее - учреждения);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- организации, оказывающие общественно значимые услуги, в том числе выполняющих комплекс работ по благоустройству, оказывающих услуги банного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lastRenderedPageBreak/>
        <w:t>хозяйства, содержащих кладбища общего пользования (далее организации – получающие муниципальную поддержку);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организации и индивидуальные предприниматели, осуществляющие предпринимательскую деятельность, которые не относятся ни к одной из вышеперечисленных категорий (далее - прочие организации);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 физические лица, нуждающиеся в социальной поддержке.</w:t>
      </w:r>
    </w:p>
    <w:p w:rsidR="00F23042" w:rsidRPr="00BD7263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7263">
        <w:rPr>
          <w:rFonts w:ascii="Times New Roman" w:hAnsi="Times New Roman" w:cs="Times New Roman"/>
          <w:bCs/>
          <w:color w:val="000000"/>
          <w:sz w:val="26"/>
          <w:szCs w:val="26"/>
        </w:rPr>
        <w:t>2.2.2. Особенности проведения оценки эффективности предоставленных и планируемых к предоставлению налоговых льгот по местным налогам в отношении муниципальных учреждений и организаций.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Если получателем налоговых льгот выступают учреждения, обеспечивающие выполнение возложенных на них функциональных задач в интересах населения </w:t>
      </w:r>
      <w:r w:rsidR="00791889">
        <w:rPr>
          <w:rFonts w:ascii="Times New Roman" w:hAnsi="Times New Roman" w:cs="Times New Roman"/>
          <w:color w:val="000000"/>
          <w:sz w:val="26"/>
          <w:szCs w:val="26"/>
        </w:rPr>
        <w:t>Лосевского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BD7263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области, то в этом случае сумма предоставленных и планируемых к предоставлению налоговых льгот рассматривается как разновидность бюджетного финансирования, поступающего в распоряжение налогоплательщика в ускоренном и упрощенном порядке. Следовательно, эффект от предоставления налоговых льгот здесь проявляется в экономии бюджетных средств, выделяемых на прямое финансирование выполнения налогоплательщиком социальных задач.</w:t>
      </w:r>
    </w:p>
    <w:p w:rsidR="00F23042" w:rsidRPr="00376946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76946">
        <w:rPr>
          <w:rFonts w:ascii="Times New Roman" w:hAnsi="Times New Roman" w:cs="Times New Roman"/>
          <w:bCs/>
          <w:color w:val="000000"/>
          <w:sz w:val="26"/>
          <w:szCs w:val="26"/>
        </w:rPr>
        <w:t>2.2.3. Особенности проведения оценки эффективности предоставленных и планируемых к предоставлению налоговых льгот по местным налогам в отношении организаций, получающих муниципальную поддержку.</w:t>
      </w:r>
    </w:p>
    <w:p w:rsidR="00F23042" w:rsidRPr="00740F4C" w:rsidRDefault="00F23042" w:rsidP="00EB00E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При оценке эффективности учитывается сумма экономии бюджетных средств, выделяемых на предоставление муниципальной поддержки. В этих случаях в качестве финансового эффекта рассматривается разница между необходимыми и фактически выделенными суммами муниципальной поддержки той или иной отрасли экономики.</w:t>
      </w:r>
    </w:p>
    <w:p w:rsidR="00F23042" w:rsidRPr="00040C19" w:rsidRDefault="00F23042" w:rsidP="00040C1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C19">
        <w:rPr>
          <w:rFonts w:ascii="Times New Roman" w:hAnsi="Times New Roman" w:cs="Times New Roman"/>
          <w:bCs/>
          <w:color w:val="000000"/>
          <w:sz w:val="26"/>
          <w:szCs w:val="26"/>
        </w:rPr>
        <w:t>2.2.4.     Особенности проведения оценки эффективности налоговых льгот в отношении прочих организаций.</w:t>
      </w:r>
    </w:p>
    <w:p w:rsidR="00F23042" w:rsidRPr="00740F4C" w:rsidRDefault="00F23042" w:rsidP="00040C1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В качестве эффекта от предоставления налоговых льгот рассматривается сумма прироста фактических и (или) планируемых налоговых поступлений в бюджет поселения за определенный период и сумма предоставленных и (или) планируемых к предоставлению налоговых льгот за тот же период.</w:t>
      </w:r>
    </w:p>
    <w:p w:rsidR="00F23042" w:rsidRPr="00040C19" w:rsidRDefault="00F23042" w:rsidP="00040C1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C19">
        <w:rPr>
          <w:rFonts w:ascii="Times New Roman" w:hAnsi="Times New Roman" w:cs="Times New Roman"/>
          <w:bCs/>
          <w:color w:val="000000"/>
          <w:sz w:val="26"/>
          <w:szCs w:val="26"/>
        </w:rPr>
        <w:t>2.2.5. Особенности проведения оценки эффективности налоговых льгот в отношении отдельных категорий физических лиц.</w:t>
      </w:r>
    </w:p>
    <w:p w:rsidR="00F23042" w:rsidRPr="00040C19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40C19">
        <w:rPr>
          <w:rFonts w:ascii="Times New Roman" w:hAnsi="Times New Roman" w:cs="Times New Roman"/>
          <w:color w:val="000000"/>
          <w:sz w:val="26"/>
          <w:szCs w:val="26"/>
        </w:rPr>
        <w:t>По физическим лицам, которым предоставлены или планируются к предоставлению налоговые льготы, сумма финансового эффекта от предоставления налоговых льгот признается равной сумме предоставленных налоговых льгот.</w:t>
      </w:r>
    </w:p>
    <w:p w:rsidR="00F23042" w:rsidRPr="00082E09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3. Методика расчета суммы бюджетного эффекта налоговых льгот</w:t>
      </w:r>
      <w:r w:rsidRPr="00082E09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082E09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Fonts w:ascii="Times New Roman" w:hAnsi="Times New Roman" w:cs="Times New Roman"/>
          <w:color w:val="000000"/>
          <w:sz w:val="26"/>
          <w:szCs w:val="26"/>
        </w:rPr>
        <w:t>3.1. Бюджетный эффект налоговых льгот учреждениям, а так же в отношение отдельных категорий физических лиц, определяется по формуле: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Эб = </w:t>
      </w: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Птб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>, где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Эб - сумма бюджетного эффекта налоговых льгот в очередном году,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Птб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– сумма предоставленных или планируемых к предоставлению налоговых льгот</w:t>
      </w:r>
    </w:p>
    <w:p w:rsidR="00F23042" w:rsidRPr="00740F4C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3.2. Бюджетный эффект налоговых льгот для прочих категорий налогоплательщиков определяется по формуле: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Эб = БЭ, где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Эб - сумма бюджетного эффекта налоговых льгот в очередном году,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БЭ - прирост налоговых поступлений в бюджет сельского поселения по всем видам налогов.</w:t>
      </w:r>
    </w:p>
    <w:p w:rsidR="00F23042" w:rsidRPr="00082E09" w:rsidRDefault="00F23042" w:rsidP="00082E09">
      <w:pPr>
        <w:spacing w:line="240" w:lineRule="auto"/>
        <w:ind w:firstLine="2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4. Методика расчета суммы социального эффекта</w:t>
      </w:r>
      <w:r w:rsidRPr="00082E09">
        <w:rPr>
          <w:rStyle w:val="apple-converted-space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P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налоговых льгот</w:t>
      </w:r>
    </w:p>
    <w:p w:rsidR="00F23042" w:rsidRPr="00740F4C" w:rsidRDefault="00F23042" w:rsidP="00082E09">
      <w:pPr>
        <w:shd w:val="clear" w:color="auto" w:fill="FFFFFF"/>
        <w:spacing w:line="240" w:lineRule="auto"/>
        <w:ind w:left="2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pacing w:val="-2"/>
          <w:sz w:val="26"/>
          <w:szCs w:val="26"/>
        </w:rPr>
        <w:t>Социальный эффект налоговых льгот определяется по формуле: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Эс = СЭ, где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Эс - сумма социального эффекта налоговых льгот в очередном году,</w:t>
      </w:r>
    </w:p>
    <w:p w:rsidR="00F23042" w:rsidRPr="00740F4C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СЭ - суммарный эффект (в денежном выражении), полученный населением в результате введения указанной налоговой льготы:</w:t>
      </w:r>
    </w:p>
    <w:p w:rsidR="00F23042" w:rsidRPr="00740F4C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-повышение уровня жизни населения поселения (повышение покупательной способности, снижение доли расходов на оплату обязательных платежей, формирование льготных условий для незащищенных слоев населения и другие);</w:t>
      </w:r>
    </w:p>
    <w:p w:rsidR="00F23042" w:rsidRPr="00740F4C" w:rsidRDefault="00F23042" w:rsidP="00082E0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-дополнительные расходы бюджета сельского поселения, которые необходимо будет произвести в случае отсутствия налоговой льготы.</w:t>
      </w:r>
    </w:p>
    <w:p w:rsidR="00F23042" w:rsidRPr="00082E09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="00082E09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ab/>
      </w:r>
      <w:r w:rsidRPr="00082E09">
        <w:rPr>
          <w:rStyle w:val="msonormal0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5. Расчет бюджетной и социальной эффективности</w:t>
      </w:r>
      <w:r w:rsidRPr="00082E09">
        <w:rPr>
          <w:rStyle w:val="apple-converted-space"/>
          <w:rFonts w:ascii="Times New Roman" w:hAnsi="Times New Roman" w:cs="Times New Roman"/>
          <w:bCs/>
          <w:color w:val="000000"/>
          <w:spacing w:val="-4"/>
          <w:sz w:val="26"/>
          <w:szCs w:val="26"/>
        </w:rPr>
        <w:t> </w:t>
      </w:r>
      <w:r w:rsidRPr="00082E09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налоговых льгот </w:t>
      </w:r>
    </w:p>
    <w:p w:rsidR="00F23042" w:rsidRPr="00082E09" w:rsidRDefault="00F23042" w:rsidP="00082E09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Fonts w:ascii="Times New Roman" w:hAnsi="Times New Roman" w:cs="Times New Roman"/>
          <w:color w:val="000000"/>
          <w:sz w:val="26"/>
          <w:szCs w:val="26"/>
        </w:rPr>
        <w:t>5.1. Расчет бюджетной и социальной эффективности налоговых льгот проводится:</w:t>
      </w:r>
    </w:p>
    <w:p w:rsidR="00F23042" w:rsidRPr="00082E09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Fonts w:ascii="Times New Roman" w:hAnsi="Times New Roman" w:cs="Times New Roman"/>
          <w:color w:val="000000"/>
          <w:sz w:val="26"/>
          <w:szCs w:val="26"/>
        </w:rPr>
        <w:t>-в случае постоянного действия льготы - на 3года;</w:t>
      </w:r>
    </w:p>
    <w:p w:rsidR="00F23042" w:rsidRPr="00082E09" w:rsidRDefault="00F23042" w:rsidP="00082E09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82E09">
        <w:rPr>
          <w:rFonts w:ascii="Times New Roman" w:hAnsi="Times New Roman" w:cs="Times New Roman"/>
          <w:color w:val="000000"/>
          <w:sz w:val="26"/>
          <w:szCs w:val="26"/>
        </w:rPr>
        <w:t>-в случае срочного действия льготы - на установленный срок.</w:t>
      </w:r>
    </w:p>
    <w:p w:rsidR="00F23042" w:rsidRPr="00740F4C" w:rsidRDefault="00F23042" w:rsidP="00EB00E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61"/>
        <w:gridCol w:w="1110"/>
        <w:gridCol w:w="140"/>
        <w:gridCol w:w="1185"/>
        <w:gridCol w:w="1147"/>
        <w:gridCol w:w="140"/>
        <w:gridCol w:w="1177"/>
      </w:tblGrid>
      <w:tr w:rsidR="00F23042" w:rsidRPr="00740F4C" w:rsidTr="0013737A">
        <w:trPr>
          <w:trHeight w:val="671"/>
          <w:tblCellSpacing w:w="0" w:type="dxa"/>
        </w:trPr>
        <w:tc>
          <w:tcPr>
            <w:tcW w:w="446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Показателиналоговой льготы</w:t>
            </w:r>
          </w:p>
        </w:tc>
        <w:tc>
          <w:tcPr>
            <w:tcW w:w="4899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 в период действия </w:t>
            </w:r>
          </w:p>
        </w:tc>
      </w:tr>
      <w:tr w:rsidR="00F23042" w:rsidRPr="00740F4C" w:rsidTr="0013737A">
        <w:trPr>
          <w:trHeight w:val="337"/>
          <w:tblCellSpacing w:w="0" w:type="dxa"/>
        </w:trPr>
        <w:tc>
          <w:tcPr>
            <w:tcW w:w="4461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1325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CA3247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2-й год</w:t>
            </w:r>
            <w:bookmarkStart w:id="0" w:name="_GoBack"/>
            <w:bookmarkEnd w:id="0"/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3-й год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</w:tr>
      <w:tr w:rsidR="00F23042" w:rsidRPr="00740F4C" w:rsidTr="0013737A">
        <w:trPr>
          <w:trHeight w:val="416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1.Сумманалоговых льгот (</w:t>
            </w:r>
            <w:proofErr w:type="spellStart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Птб</w:t>
            </w:r>
            <w:proofErr w:type="spellEnd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434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 xml:space="preserve">2.Сумма эффекта (Эб или </w:t>
            </w:r>
            <w:proofErr w:type="spellStart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Эс</w:t>
            </w:r>
            <w:proofErr w:type="spellEnd"/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664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3.Эффективность предоставления налоговых льгот (стр. 2 - стр. 1)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420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4.Коэффициент дисконтирования (КД)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698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5.Дисконтированная эффективность предоставления льгот (стр. 3 х стр. 4)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rHeight w:val="991"/>
          <w:tblCellSpacing w:w="0" w:type="dxa"/>
        </w:trPr>
        <w:tc>
          <w:tcPr>
            <w:tcW w:w="4461" w:type="dxa"/>
            <w:shd w:val="clear" w:color="auto" w:fill="FFFFFF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6.Дисконтированная эффективность предоставления льгот накопленным итогом (стр. 6i + стр. 5i+1)</w:t>
            </w:r>
          </w:p>
        </w:tc>
        <w:tc>
          <w:tcPr>
            <w:tcW w:w="111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25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7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13737A">
        <w:trPr>
          <w:tblCellSpacing w:w="0" w:type="dxa"/>
        </w:trPr>
        <w:tc>
          <w:tcPr>
            <w:tcW w:w="4461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7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КД - коэффициент дисконтирования; i = 1... п - год действия льготы.</w:t>
      </w:r>
    </w:p>
    <w:p w:rsidR="00F23042" w:rsidRPr="00740F4C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КД = 100/(100 + СЦБ), где</w:t>
      </w:r>
    </w:p>
    <w:p w:rsidR="00F23042" w:rsidRPr="00740F4C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СЦБ - действующая на момент проведения оценки учетная ставка Центрального банка РФ.</w:t>
      </w:r>
    </w:p>
    <w:p w:rsidR="00F23042" w:rsidRPr="00740F4C" w:rsidRDefault="00F23042" w:rsidP="0013737A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КД</w:t>
      </w:r>
      <w:r w:rsidRPr="00740F4C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740F4C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= 100 </w:t>
      </w:r>
      <w:proofErr w:type="spellStart"/>
      <w:r w:rsidRPr="00740F4C">
        <w:rPr>
          <w:rFonts w:ascii="Times New Roman" w:hAnsi="Times New Roman" w:cs="Times New Roman"/>
          <w:color w:val="000000"/>
          <w:sz w:val="26"/>
          <w:szCs w:val="26"/>
        </w:rPr>
        <w:t>хКД</w:t>
      </w:r>
      <w:r w:rsidRPr="00740F4C"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740F4C">
        <w:rPr>
          <w:rFonts w:ascii="Times New Roman" w:hAnsi="Times New Roman" w:cs="Times New Roman"/>
          <w:color w:val="000000"/>
          <w:sz w:val="26"/>
          <w:szCs w:val="26"/>
        </w:rPr>
        <w:t>-1/(100 +СЦБ).</w:t>
      </w:r>
    </w:p>
    <w:p w:rsidR="00F23042" w:rsidRPr="00740F4C" w:rsidRDefault="00F23042" w:rsidP="00EE3E9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5.2. Налоговая льгота может быть признана эффективной, в случае если дисконтированная бюджетная или социальная эффективность предоставления льгот накопленным итогом к окончанию срока действия льготы больше либо равна нулю.</w:t>
      </w:r>
    </w:p>
    <w:p w:rsidR="00F23042" w:rsidRPr="00682DB2" w:rsidRDefault="00F23042" w:rsidP="00682DB2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 </w:t>
      </w:r>
      <w:r w:rsid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ab/>
      </w:r>
      <w:r w:rsidRP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6. Действия по реализации результатов оценки эффективностиналоговых льгот</w:t>
      </w:r>
      <w:r w:rsidR="00FB78EE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682DB2">
        <w:rPr>
          <w:rStyle w:val="msonormal0"/>
          <w:rFonts w:ascii="Times New Roman" w:hAnsi="Times New Roman" w:cs="Times New Roman"/>
          <w:bCs/>
          <w:color w:val="000000"/>
          <w:sz w:val="26"/>
          <w:szCs w:val="26"/>
        </w:rPr>
        <w:t> </w:t>
      </w:r>
    </w:p>
    <w:p w:rsidR="00F23042" w:rsidRPr="00682DB2" w:rsidRDefault="00F23042" w:rsidP="00682DB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2DB2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эффективности льгот по местным налогам и инвентаризация льгот, установленных решениями Совета народных депутатов </w:t>
      </w:r>
      <w:r w:rsidR="0040561B">
        <w:rPr>
          <w:rFonts w:ascii="Times New Roman" w:hAnsi="Times New Roman" w:cs="Times New Roman"/>
          <w:color w:val="000000"/>
          <w:sz w:val="26"/>
          <w:szCs w:val="26"/>
        </w:rPr>
        <w:t>Лосевского</w:t>
      </w:r>
      <w:r w:rsidR="00DA79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82DB2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FB78EE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</w:t>
      </w:r>
      <w:r w:rsidRPr="00682DB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района, проводятся один раз в год. По результатам инвентаризации составляется реестр установленных налоговых льгот. Ведение реестра осуществляется по следующей форме: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Реестр предоставленных налоговых льгот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состоянию на" ___" __________    20г.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4"/>
        <w:gridCol w:w="1424"/>
        <w:gridCol w:w="1670"/>
        <w:gridCol w:w="1744"/>
        <w:gridCol w:w="1815"/>
        <w:gridCol w:w="2148"/>
      </w:tblGrid>
      <w:tr w:rsidR="00F23042" w:rsidRPr="00740F4C" w:rsidTr="00FB78EE">
        <w:trPr>
          <w:trHeight w:val="1085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№П№ п/п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Вид налога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Содержание льготы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Нормативный акт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Срокдействия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Результатыоценки</w:t>
            </w:r>
          </w:p>
        </w:tc>
      </w:tr>
      <w:tr w:rsidR="00F23042" w:rsidRPr="00740F4C" w:rsidTr="00FB78EE">
        <w:trPr>
          <w:trHeight w:val="214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FB78EE">
        <w:trPr>
          <w:trHeight w:val="214"/>
          <w:tblCellSpacing w:w="0" w:type="dxa"/>
        </w:trPr>
        <w:tc>
          <w:tcPr>
            <w:tcW w:w="78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7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74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1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 </w:t>
            </w:r>
          </w:p>
        </w:tc>
        <w:tc>
          <w:tcPr>
            <w:tcW w:w="2148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ind w:left="1642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FB78EE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 введении новых налоговых льгот, отмене льгот или изменении содержания льготы в реестр вносятся соответствующие поправки.</w:t>
      </w:r>
    </w:p>
    <w:p w:rsidR="00F23042" w:rsidRPr="00740F4C" w:rsidRDefault="00F23042" w:rsidP="00A4146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6.2.   Оценка эффективности налоговых льгот и оценка потерь бюджета сельского поселения производится перед представлением в Совет народных депутатов </w:t>
      </w:r>
      <w:r w:rsidR="0040561B">
        <w:rPr>
          <w:rFonts w:ascii="Times New Roman" w:hAnsi="Times New Roman" w:cs="Times New Roman"/>
          <w:color w:val="000000"/>
          <w:sz w:val="26"/>
          <w:szCs w:val="26"/>
        </w:rPr>
        <w:t>Лосевского</w:t>
      </w:r>
      <w:r w:rsidR="0072561B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ельского поселения </w:t>
      </w:r>
      <w:r w:rsidR="0072561B">
        <w:rPr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проекта бюджета на очередной финансовый год и плановый период.</w:t>
      </w:r>
    </w:p>
    <w:p w:rsidR="00F23042" w:rsidRPr="00740F4C" w:rsidRDefault="00F23042" w:rsidP="0072561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6.3. По результатам проведения оценки эффективности налоговых льгот составляется аналитическая записка, которая представляется главе </w:t>
      </w:r>
      <w:r w:rsidR="0040561B">
        <w:rPr>
          <w:rFonts w:ascii="Times New Roman" w:hAnsi="Times New Roman" w:cs="Times New Roman"/>
          <w:color w:val="000000"/>
          <w:sz w:val="26"/>
          <w:szCs w:val="26"/>
        </w:rPr>
        <w:t>Лосевского</w:t>
      </w:r>
      <w:r w:rsidR="00DA79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72561B">
        <w:rPr>
          <w:rFonts w:ascii="Times New Roman" w:hAnsi="Times New Roman" w:cs="Times New Roman"/>
          <w:color w:val="000000"/>
          <w:sz w:val="26"/>
          <w:szCs w:val="26"/>
        </w:rPr>
        <w:t xml:space="preserve">Павловского </w:t>
      </w:r>
      <w:r w:rsidRPr="00740F4C">
        <w:rPr>
          <w:rFonts w:ascii="Times New Roman" w:hAnsi="Times New Roman" w:cs="Times New Roman"/>
          <w:color w:val="000000"/>
          <w:sz w:val="26"/>
          <w:szCs w:val="26"/>
        </w:rPr>
        <w:t>муниципального района. Аналитическая записка должна содержать полный перечень предоставленных на территории поселения налоговых льгот, полную информацию о доходах бюджета поселения, выпадающих по причине предоставления налоговых льгот, сведения о бюджетной и социальной эффективности действующих налоговых льгот и предложения по корректировке или отмене неэффективных налоговых льгот.</w:t>
      </w:r>
    </w:p>
    <w:p w:rsidR="00F23042" w:rsidRPr="00740F4C" w:rsidRDefault="00F23042" w:rsidP="00AD641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6.4. Информация о результатах оценки потерь бюджета сельского поселения и дополнительных бюджетных доходов (экономии бюджетных средств) в связи с предоставлением налоговых льгот, а также совокупной бюджетной и социальной эффективности налоговых льгот публикуется на официальном сайте администрации сельского поселения.</w:t>
      </w:r>
    </w:p>
    <w:p w:rsidR="004317D3" w:rsidRDefault="00F23042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</w:t>
      </w: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4317D3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317D3" w:rsidRDefault="00F23042" w:rsidP="004317D3">
      <w:pPr>
        <w:spacing w:line="240" w:lineRule="auto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4317D3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риложение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№1</w:t>
      </w:r>
      <w:r w:rsidR="004317D3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br/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к Порядку проведения оценки эффективности предоставленных и планируемых к предоставлению льгот по местным налогам по </w:t>
      </w:r>
      <w:proofErr w:type="spellStart"/>
      <w:r w:rsidR="0040561B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Лосевскому</w:t>
      </w:r>
      <w:proofErr w:type="spellEnd"/>
      <w:r w:rsidR="00DA791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сельскому поселению</w:t>
      </w:r>
    </w:p>
    <w:p w:rsidR="004317D3" w:rsidRDefault="00F23042" w:rsidP="004317D3">
      <w:pPr>
        <w:spacing w:line="240" w:lineRule="auto"/>
        <w:jc w:val="both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Данные для расчета эффективности применения налоговых льгот</w:t>
      </w:r>
      <w:r w:rsidR="004317D3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.</w:t>
      </w:r>
    </w:p>
    <w:p w:rsidR="00F23042" w:rsidRPr="00740F4C" w:rsidRDefault="00F23042" w:rsidP="004317D3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Информация представлена________________________________(полное наименование организации)</w:t>
      </w:r>
    </w:p>
    <w:p w:rsidR="00F23042" w:rsidRPr="00740F4C" w:rsidRDefault="00F23042" w:rsidP="00EB00EB">
      <w:pPr>
        <w:spacing w:line="240" w:lineRule="auto"/>
        <w:ind w:left="1985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br/>
        <w:t>по состоянию на «_____»______________20___г.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0"/>
        <w:gridCol w:w="4218"/>
        <w:gridCol w:w="997"/>
        <w:gridCol w:w="142"/>
        <w:gridCol w:w="1082"/>
        <w:gridCol w:w="40"/>
        <w:gridCol w:w="1184"/>
        <w:gridCol w:w="1121"/>
      </w:tblGrid>
      <w:tr w:rsidR="00F23042" w:rsidRPr="00740F4C" w:rsidTr="004945C5">
        <w:trPr>
          <w:trHeight w:val="769"/>
          <w:tblCellSpacing w:w="0" w:type="dxa"/>
        </w:trPr>
        <w:tc>
          <w:tcPr>
            <w:tcW w:w="670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18" w:type="dxa"/>
            <w:vMerge w:val="restart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Показателиналоговой льготы</w:t>
            </w:r>
          </w:p>
        </w:tc>
        <w:tc>
          <w:tcPr>
            <w:tcW w:w="4566" w:type="dxa"/>
            <w:gridSpan w:val="6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Показатели в период действия </w:t>
            </w:r>
          </w:p>
        </w:tc>
      </w:tr>
      <w:tr w:rsidR="00F23042" w:rsidRPr="00740F4C" w:rsidTr="004945C5">
        <w:trPr>
          <w:trHeight w:val="619"/>
          <w:tblCellSpacing w:w="0" w:type="dxa"/>
        </w:trPr>
        <w:tc>
          <w:tcPr>
            <w:tcW w:w="0" w:type="auto"/>
            <w:vMerge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1-й год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2-й год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3-й год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</w:tr>
      <w:tr w:rsidR="00F23042" w:rsidRPr="00740F4C" w:rsidTr="004945C5">
        <w:trPr>
          <w:trHeight w:val="1483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Общая сумма средств, высвобожденных у организации в результате применения налоговой льготы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4945C5">
        <w:trPr>
          <w:trHeight w:val="472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Сумма эффекта, в т.ч.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C06265">
        <w:trPr>
          <w:trHeight w:val="2911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Дополнительные налоговые и неналоговые поступления в бюджет сельского поселения в результате применения налоговой льготы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4945C5">
        <w:trPr>
          <w:trHeight w:val="1686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Социальные результаты (увеличение зарплаты, снижение тарифов, средства, направленные на социальные нужды, и т.д.)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4945C5">
        <w:trPr>
          <w:trHeight w:val="1189"/>
          <w:tblCellSpacing w:w="0" w:type="dxa"/>
        </w:trPr>
        <w:tc>
          <w:tcPr>
            <w:tcW w:w="670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218" w:type="dxa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Эффективность предоставления налоговых льгот (стр. 1 -стр. 2.1 (стр. 2.2))</w:t>
            </w:r>
          </w:p>
        </w:tc>
        <w:tc>
          <w:tcPr>
            <w:tcW w:w="1139" w:type="dxa"/>
            <w:gridSpan w:val="2"/>
            <w:shd w:val="clear" w:color="auto" w:fill="FFFFFF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2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24" w:type="dxa"/>
            <w:gridSpan w:val="2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F23042" w:rsidRPr="00740F4C" w:rsidTr="004945C5">
        <w:trPr>
          <w:tblCellSpacing w:w="0" w:type="dxa"/>
        </w:trPr>
        <w:tc>
          <w:tcPr>
            <w:tcW w:w="67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8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2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4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  <w:vAlign w:val="center"/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Подпись руководителя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Подпись главного бухгалтера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*Представленные данные подтверждаются данными налоговой, бухгалтерской и статистической отчетности.</w:t>
      </w:r>
    </w:p>
    <w:p w:rsidR="004945C5" w:rsidRDefault="00F23042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   </w:t>
      </w: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4945C5" w:rsidRDefault="004945C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C06265" w:rsidRDefault="00C0626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C06265" w:rsidRDefault="00C0626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C06265" w:rsidRDefault="00C06265" w:rsidP="00EB00EB">
      <w:pPr>
        <w:spacing w:line="240" w:lineRule="auto"/>
        <w:rPr>
          <w:rStyle w:val="msonormal0"/>
          <w:rFonts w:ascii="Times New Roman" w:hAnsi="Times New Roman" w:cs="Times New Roman"/>
          <w:color w:val="000000"/>
          <w:sz w:val="26"/>
          <w:szCs w:val="26"/>
        </w:rPr>
      </w:pPr>
    </w:p>
    <w:p w:rsidR="00F23042" w:rsidRPr="00740F4C" w:rsidRDefault="00F23042" w:rsidP="004945C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lastRenderedPageBreak/>
        <w:t>П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риложение№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2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br/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к Порядку проведения оценки эффективности предоставленных и планируемых к предоставлению льгот по местным налогам по </w:t>
      </w:r>
      <w:proofErr w:type="spellStart"/>
      <w:r w:rsidR="00C01CD9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Лосевскому</w:t>
      </w:r>
      <w:proofErr w:type="spellEnd"/>
      <w:r w:rsidR="00DA791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сельскому поселению</w:t>
      </w:r>
    </w:p>
    <w:p w:rsidR="00F23042" w:rsidRPr="00740F4C" w:rsidRDefault="00F23042" w:rsidP="004945C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Данные для расчета эффективностиприменения налоговых льгот, предоставленных муниципальнымучреждениям (казенным, бюджетным, автономным) и организациям </w:t>
      </w:r>
      <w:r w:rsidR="00C01CD9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Лосевского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4945C5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>Павловского</w:t>
      </w:r>
      <w:r w:rsidRPr="00740F4C">
        <w:rPr>
          <w:rStyle w:val="msonormal0"/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Информация представлена_______________________________________</w:t>
      </w:r>
    </w:p>
    <w:p w:rsidR="00F23042" w:rsidRPr="00740F4C" w:rsidRDefault="00F23042" w:rsidP="00EB00E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(полное наименование органа администрации муниципального района)</w:t>
      </w:r>
    </w:p>
    <w:p w:rsidR="00F23042" w:rsidRPr="00740F4C" w:rsidRDefault="00F23042" w:rsidP="00EB00EB">
      <w:pPr>
        <w:spacing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F23042" w:rsidRPr="00740F4C" w:rsidRDefault="00F23042" w:rsidP="00EB00EB">
      <w:pPr>
        <w:spacing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по состоянию на «____» ______________201___г.</w:t>
      </w:r>
    </w:p>
    <w:p w:rsidR="00F23042" w:rsidRPr="00740F4C" w:rsidRDefault="00F23042" w:rsidP="004945C5">
      <w:pPr>
        <w:spacing w:line="240" w:lineRule="auto"/>
        <w:ind w:left="1843"/>
        <w:rPr>
          <w:rFonts w:ascii="Times New Roman" w:hAnsi="Times New Roman" w:cs="Times New Roman"/>
          <w:color w:val="000000"/>
          <w:sz w:val="26"/>
          <w:szCs w:val="26"/>
        </w:rPr>
      </w:pPr>
      <w:r w:rsidRPr="00740F4C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060"/>
        <w:gridCol w:w="5416"/>
        <w:gridCol w:w="3114"/>
      </w:tblGrid>
      <w:tr w:rsidR="00F23042" w:rsidRPr="00740F4C" w:rsidTr="004945C5">
        <w:trPr>
          <w:tblCellSpacing w:w="0" w:type="dxa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Style w:val="msonormal0"/>
                <w:rFonts w:ascii="Times New Roman" w:hAnsi="Times New Roman" w:cs="Times New Roman"/>
                <w:sz w:val="26"/>
                <w:szCs w:val="26"/>
              </w:rPr>
              <w:t>Наименование учреждения или организации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Сумма льготы, тыс. руб.</w:t>
            </w:r>
          </w:p>
        </w:tc>
      </w:tr>
      <w:tr w:rsidR="00F23042" w:rsidRPr="00740F4C" w:rsidTr="004945C5">
        <w:trPr>
          <w:tblCellSpacing w:w="0" w:type="dxa"/>
        </w:trPr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042" w:rsidRPr="00740F4C" w:rsidRDefault="00F23042" w:rsidP="00EB00E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40F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23042" w:rsidRPr="006E7CAB" w:rsidRDefault="00F23042" w:rsidP="006E7CAB">
      <w:pPr>
        <w:pStyle w:val="aa"/>
        <w:numPr>
          <w:ilvl w:val="0"/>
          <w:numId w:val="1"/>
        </w:numPr>
        <w:jc w:val="right"/>
        <w:rPr>
          <w:sz w:val="26"/>
          <w:szCs w:val="26"/>
        </w:rPr>
        <w:sectPr w:rsidR="00F23042" w:rsidRPr="006E7CAB" w:rsidSect="00F230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22A3" w:rsidRPr="00740F4C" w:rsidRDefault="005D22A3" w:rsidP="006E7CAB">
      <w:pPr>
        <w:pStyle w:val="ConsPlusNormal"/>
        <w:jc w:val="right"/>
        <w:outlineLvl w:val="1"/>
        <w:rPr>
          <w:sz w:val="26"/>
          <w:szCs w:val="26"/>
        </w:rPr>
      </w:pPr>
      <w:r w:rsidRPr="00740F4C">
        <w:rPr>
          <w:sz w:val="26"/>
          <w:szCs w:val="26"/>
        </w:rPr>
        <w:lastRenderedPageBreak/>
        <w:t>Приложение</w:t>
      </w:r>
      <w:r w:rsidR="00C77736">
        <w:rPr>
          <w:sz w:val="26"/>
          <w:szCs w:val="26"/>
        </w:rPr>
        <w:t>№3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к Порядку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оценки бюджетной и социальной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эффективности предоставляемых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(планируемых к предоставлению)</w:t>
      </w:r>
    </w:p>
    <w:p w:rsidR="005D22A3" w:rsidRPr="00740F4C" w:rsidRDefault="005D22A3" w:rsidP="00EB00EB">
      <w:pPr>
        <w:pStyle w:val="ConsPlusNormal"/>
        <w:jc w:val="right"/>
        <w:rPr>
          <w:sz w:val="26"/>
          <w:szCs w:val="26"/>
        </w:rPr>
      </w:pPr>
      <w:r w:rsidRPr="00740F4C">
        <w:rPr>
          <w:sz w:val="26"/>
          <w:szCs w:val="26"/>
        </w:rPr>
        <w:t>налоговых льгот</w:t>
      </w:r>
    </w:p>
    <w:p w:rsidR="005D22A3" w:rsidRPr="00740F4C" w:rsidRDefault="005D22A3" w:rsidP="00EB00EB">
      <w:pPr>
        <w:pStyle w:val="ConsPlusNormal"/>
        <w:jc w:val="both"/>
        <w:rPr>
          <w:sz w:val="26"/>
          <w:szCs w:val="26"/>
        </w:rPr>
      </w:pPr>
    </w:p>
    <w:p w:rsidR="006A7B47" w:rsidRPr="006A7B47" w:rsidRDefault="006A7B47" w:rsidP="006A7B47">
      <w:pPr>
        <w:jc w:val="center"/>
        <w:rPr>
          <w:b/>
          <w:sz w:val="26"/>
          <w:szCs w:val="26"/>
        </w:rPr>
      </w:pPr>
      <w:r w:rsidRPr="006A7B47">
        <w:rPr>
          <w:b/>
          <w:sz w:val="26"/>
          <w:szCs w:val="26"/>
        </w:rPr>
        <w:t>Отчет об оценке эффективности налоговых льгот (пониженных ставок по налогам)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7"/>
        <w:gridCol w:w="1905"/>
        <w:gridCol w:w="1417"/>
        <w:gridCol w:w="1418"/>
        <w:gridCol w:w="1842"/>
        <w:gridCol w:w="2083"/>
        <w:gridCol w:w="1709"/>
        <w:gridCol w:w="1971"/>
        <w:gridCol w:w="1544"/>
      </w:tblGrid>
      <w:tr w:rsidR="006A7B47" w:rsidRPr="006A7B47" w:rsidTr="006A7B47">
        <w:tc>
          <w:tcPr>
            <w:tcW w:w="897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5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Наименование поселения</w:t>
            </w:r>
          </w:p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 xml:space="preserve"> (в разрезе налогов)</w:t>
            </w:r>
          </w:p>
        </w:tc>
        <w:tc>
          <w:tcPr>
            <w:tcW w:w="1417" w:type="dxa"/>
            <w:vAlign w:val="center"/>
          </w:tcPr>
          <w:p w:rsidR="006A7B47" w:rsidRPr="006A7B47" w:rsidRDefault="006A7B47" w:rsidP="006A7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 за 20__</w:t>
            </w: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A7B47" w:rsidRPr="006A7B47" w:rsidRDefault="006A7B47" w:rsidP="006A7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Объем налоговых льгот за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 xml:space="preserve"> год (оценка)</w:t>
            </w:r>
          </w:p>
        </w:tc>
        <w:tc>
          <w:tcPr>
            <w:tcW w:w="1842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Количество льготных категорий</w:t>
            </w:r>
          </w:p>
        </w:tc>
        <w:tc>
          <w:tcPr>
            <w:tcW w:w="2083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Период, за который проведена оценка муниципальными образованиями, дата проведения оценки</w:t>
            </w:r>
          </w:p>
        </w:tc>
        <w:tc>
          <w:tcPr>
            <w:tcW w:w="1709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Количество неэффективных льгот</w:t>
            </w:r>
          </w:p>
        </w:tc>
        <w:tc>
          <w:tcPr>
            <w:tcW w:w="1971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Бюджетный результат оценки эффективности (в случае отмены/частичной отмены льгот), тыс.рублей</w:t>
            </w:r>
          </w:p>
        </w:tc>
        <w:tc>
          <w:tcPr>
            <w:tcW w:w="1544" w:type="dxa"/>
            <w:vAlign w:val="center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sz w:val="20"/>
                <w:szCs w:val="20"/>
              </w:rPr>
              <w:t>Количество льгот, предлагаемых к отмене</w:t>
            </w:r>
          </w:p>
        </w:tc>
      </w:tr>
      <w:tr w:rsidR="006A7B47" w:rsidRPr="008B0243" w:rsidTr="0082555F">
        <w:tc>
          <w:tcPr>
            <w:tcW w:w="14786" w:type="dxa"/>
            <w:gridSpan w:val="9"/>
          </w:tcPr>
          <w:p w:rsidR="006A7B47" w:rsidRPr="006A7B47" w:rsidRDefault="006A7B47" w:rsidP="008255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имущество физических лиц</w:t>
            </w:r>
          </w:p>
        </w:tc>
      </w:tr>
      <w:tr w:rsidR="006A7B47" w:rsidTr="006A7B47">
        <w:tc>
          <w:tcPr>
            <w:tcW w:w="897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  <w:r w:rsidRPr="006F384E">
              <w:t>1.</w:t>
            </w:r>
          </w:p>
        </w:tc>
        <w:tc>
          <w:tcPr>
            <w:tcW w:w="1905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</w:tr>
      <w:tr w:rsidR="006A7B47" w:rsidTr="006A7B47">
        <w:tc>
          <w:tcPr>
            <w:tcW w:w="897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  <w:r w:rsidRPr="006F384E">
              <w:t>2.</w:t>
            </w:r>
          </w:p>
        </w:tc>
        <w:tc>
          <w:tcPr>
            <w:tcW w:w="1905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</w:tr>
      <w:tr w:rsidR="006A7B47" w:rsidRPr="008B0243" w:rsidTr="006A7B47">
        <w:tc>
          <w:tcPr>
            <w:tcW w:w="897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  <w:r w:rsidRPr="006F384E">
              <w:rPr>
                <w:b/>
              </w:rPr>
              <w:t>Итого по налогу</w:t>
            </w:r>
          </w:p>
        </w:tc>
        <w:tc>
          <w:tcPr>
            <w:tcW w:w="1905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</w:tr>
      <w:tr w:rsidR="006A7B47" w:rsidRPr="008B0243" w:rsidTr="0082555F">
        <w:tc>
          <w:tcPr>
            <w:tcW w:w="14786" w:type="dxa"/>
            <w:gridSpan w:val="9"/>
          </w:tcPr>
          <w:p w:rsidR="006A7B47" w:rsidRPr="006A7B47" w:rsidRDefault="006A7B47" w:rsidP="006A7B4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Земельный налог </w:t>
            </w:r>
          </w:p>
        </w:tc>
      </w:tr>
      <w:tr w:rsidR="006A7B47" w:rsidTr="006A7B47">
        <w:tc>
          <w:tcPr>
            <w:tcW w:w="897" w:type="dxa"/>
          </w:tcPr>
          <w:p w:rsidR="006A7B47" w:rsidRPr="006F384E" w:rsidRDefault="006A7B47" w:rsidP="0082555F">
            <w:pPr>
              <w:jc w:val="both"/>
            </w:pPr>
            <w:r w:rsidRPr="006F384E">
              <w:t>1.</w:t>
            </w:r>
          </w:p>
        </w:tc>
        <w:tc>
          <w:tcPr>
            <w:tcW w:w="1905" w:type="dxa"/>
          </w:tcPr>
          <w:p w:rsidR="006A7B47" w:rsidRPr="006F384E" w:rsidRDefault="006A7B47" w:rsidP="0082555F">
            <w:pPr>
              <w:jc w:val="both"/>
            </w:pPr>
          </w:p>
        </w:tc>
        <w:tc>
          <w:tcPr>
            <w:tcW w:w="1417" w:type="dxa"/>
          </w:tcPr>
          <w:p w:rsidR="006A7B47" w:rsidRPr="006F384E" w:rsidRDefault="006A7B47" w:rsidP="0082555F">
            <w:pPr>
              <w:jc w:val="both"/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</w:tr>
      <w:tr w:rsidR="006A7B47" w:rsidTr="006A7B47">
        <w:tc>
          <w:tcPr>
            <w:tcW w:w="897" w:type="dxa"/>
          </w:tcPr>
          <w:p w:rsidR="006A7B47" w:rsidRPr="006F384E" w:rsidRDefault="006A7B47" w:rsidP="0082555F">
            <w:pPr>
              <w:jc w:val="both"/>
            </w:pPr>
            <w:r w:rsidRPr="006F384E">
              <w:t>2.</w:t>
            </w:r>
          </w:p>
        </w:tc>
        <w:tc>
          <w:tcPr>
            <w:tcW w:w="1905" w:type="dxa"/>
          </w:tcPr>
          <w:p w:rsidR="006A7B47" w:rsidRPr="006F384E" w:rsidRDefault="006A7B47" w:rsidP="0082555F">
            <w:pPr>
              <w:jc w:val="both"/>
            </w:pPr>
          </w:p>
        </w:tc>
        <w:tc>
          <w:tcPr>
            <w:tcW w:w="1417" w:type="dxa"/>
          </w:tcPr>
          <w:p w:rsidR="006A7B47" w:rsidRPr="006F384E" w:rsidRDefault="006A7B47" w:rsidP="0082555F">
            <w:pPr>
              <w:jc w:val="both"/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</w:pPr>
          </w:p>
        </w:tc>
      </w:tr>
      <w:tr w:rsidR="006A7B47" w:rsidRPr="008B0243" w:rsidTr="006A7B47">
        <w:tc>
          <w:tcPr>
            <w:tcW w:w="897" w:type="dxa"/>
          </w:tcPr>
          <w:p w:rsidR="006A7B47" w:rsidRPr="006A7B47" w:rsidRDefault="006A7B47" w:rsidP="006A7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налогу</w:t>
            </w:r>
          </w:p>
        </w:tc>
        <w:tc>
          <w:tcPr>
            <w:tcW w:w="1905" w:type="dxa"/>
          </w:tcPr>
          <w:p w:rsidR="006A7B47" w:rsidRPr="006A7B47" w:rsidRDefault="006A7B47" w:rsidP="006A7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</w:tr>
      <w:tr w:rsidR="006A7B47" w:rsidRPr="008B0243" w:rsidTr="006A7B47">
        <w:tc>
          <w:tcPr>
            <w:tcW w:w="897" w:type="dxa"/>
          </w:tcPr>
          <w:p w:rsidR="006A7B47" w:rsidRPr="006A7B47" w:rsidRDefault="006A7B47" w:rsidP="006A7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B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905" w:type="dxa"/>
          </w:tcPr>
          <w:p w:rsidR="006A7B47" w:rsidRPr="006A7B47" w:rsidRDefault="006A7B47" w:rsidP="006A7B4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2083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709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971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6A7B47" w:rsidRPr="006F384E" w:rsidRDefault="006A7B47" w:rsidP="006A7B47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6A7B47" w:rsidRDefault="006A7B47" w:rsidP="006A7B47">
      <w:pPr>
        <w:jc w:val="both"/>
      </w:pPr>
    </w:p>
    <w:p w:rsidR="005D22A3" w:rsidRPr="00740F4C" w:rsidRDefault="005D22A3" w:rsidP="00EB00EB">
      <w:pPr>
        <w:pStyle w:val="ConsPlusNormal"/>
        <w:jc w:val="both"/>
        <w:rPr>
          <w:sz w:val="26"/>
          <w:szCs w:val="26"/>
        </w:rPr>
      </w:pPr>
    </w:p>
    <w:p w:rsidR="005D22A3" w:rsidRDefault="005D22A3" w:rsidP="00EB00EB">
      <w:pPr>
        <w:pStyle w:val="ConsPlusTitle"/>
        <w:jc w:val="center"/>
      </w:pPr>
    </w:p>
    <w:p w:rsidR="00856BC8" w:rsidRPr="0098019A" w:rsidRDefault="00856BC8" w:rsidP="00EB00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2C6" w:rsidRDefault="00E372C6" w:rsidP="00E372C6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372C6" w:rsidSect="005D22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4009A"/>
    <w:multiLevelType w:val="hybridMultilevel"/>
    <w:tmpl w:val="67A0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2C6"/>
    <w:rsid w:val="00040C19"/>
    <w:rsid w:val="00082E09"/>
    <w:rsid w:val="000A150D"/>
    <w:rsid w:val="000C6C1C"/>
    <w:rsid w:val="0013737A"/>
    <w:rsid w:val="00173558"/>
    <w:rsid w:val="002855A6"/>
    <w:rsid w:val="00300997"/>
    <w:rsid w:val="00360FD5"/>
    <w:rsid w:val="00376946"/>
    <w:rsid w:val="003A381F"/>
    <w:rsid w:val="003D55B0"/>
    <w:rsid w:val="0040561B"/>
    <w:rsid w:val="004317D3"/>
    <w:rsid w:val="00477016"/>
    <w:rsid w:val="004945C5"/>
    <w:rsid w:val="004972F1"/>
    <w:rsid w:val="0054687D"/>
    <w:rsid w:val="005D22A3"/>
    <w:rsid w:val="005D5285"/>
    <w:rsid w:val="006722BD"/>
    <w:rsid w:val="00682DB2"/>
    <w:rsid w:val="006A7B47"/>
    <w:rsid w:val="006C69CF"/>
    <w:rsid w:val="006D51FD"/>
    <w:rsid w:val="006E7CAB"/>
    <w:rsid w:val="0070090F"/>
    <w:rsid w:val="0072561B"/>
    <w:rsid w:val="00740F4C"/>
    <w:rsid w:val="007439DB"/>
    <w:rsid w:val="00791889"/>
    <w:rsid w:val="00791AA6"/>
    <w:rsid w:val="007C0BE5"/>
    <w:rsid w:val="00856BC8"/>
    <w:rsid w:val="00892CB8"/>
    <w:rsid w:val="008D6407"/>
    <w:rsid w:val="008F47F7"/>
    <w:rsid w:val="009060EB"/>
    <w:rsid w:val="00950B9B"/>
    <w:rsid w:val="0098019A"/>
    <w:rsid w:val="00991404"/>
    <w:rsid w:val="00A41465"/>
    <w:rsid w:val="00A4501E"/>
    <w:rsid w:val="00A80A7E"/>
    <w:rsid w:val="00A82F31"/>
    <w:rsid w:val="00AD641F"/>
    <w:rsid w:val="00B00DDE"/>
    <w:rsid w:val="00B135D3"/>
    <w:rsid w:val="00BD7263"/>
    <w:rsid w:val="00C01CD9"/>
    <w:rsid w:val="00C06265"/>
    <w:rsid w:val="00C77736"/>
    <w:rsid w:val="00CA3247"/>
    <w:rsid w:val="00CD282C"/>
    <w:rsid w:val="00CE740B"/>
    <w:rsid w:val="00D32DA0"/>
    <w:rsid w:val="00D45EE2"/>
    <w:rsid w:val="00DA66A5"/>
    <w:rsid w:val="00DA7915"/>
    <w:rsid w:val="00DE3B1B"/>
    <w:rsid w:val="00DE69EA"/>
    <w:rsid w:val="00E10D44"/>
    <w:rsid w:val="00E372C6"/>
    <w:rsid w:val="00E85622"/>
    <w:rsid w:val="00EB00EB"/>
    <w:rsid w:val="00EE3E9A"/>
    <w:rsid w:val="00EF09A4"/>
    <w:rsid w:val="00F23042"/>
    <w:rsid w:val="00F362B5"/>
    <w:rsid w:val="00F41DE6"/>
    <w:rsid w:val="00FB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2C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C0B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C0BE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C0BE5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C0BE5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7C0B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7C0BE5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99"/>
    <w:qFormat/>
    <w:rsid w:val="007C0B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E6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D2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5D2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normal">
    <w:name w:val="consnormal"/>
    <w:basedOn w:val="a0"/>
    <w:rsid w:val="000A150D"/>
  </w:style>
  <w:style w:type="character" w:customStyle="1" w:styleId="apple-converted-space">
    <w:name w:val="apple-converted-space"/>
    <w:basedOn w:val="a0"/>
    <w:rsid w:val="000A150D"/>
  </w:style>
  <w:style w:type="character" w:customStyle="1" w:styleId="msonormal0">
    <w:name w:val="msonormal"/>
    <w:basedOn w:val="a0"/>
    <w:rsid w:val="00F2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12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2017-05-19T04:47:00Z</cp:lastPrinted>
  <dcterms:created xsi:type="dcterms:W3CDTF">2016-12-23T07:46:00Z</dcterms:created>
  <dcterms:modified xsi:type="dcterms:W3CDTF">2017-07-18T13:08:00Z</dcterms:modified>
</cp:coreProperties>
</file>